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717E" w14:textId="19D580E0" w:rsidR="001526B8" w:rsidRPr="004132A0" w:rsidRDefault="00222444" w:rsidP="001526B8">
      <w:pPr>
        <w:pStyle w:val="AralkYok"/>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ŞEHİT ZAFER KOYUNCU İMAM HATİP ORTAOKULU</w:t>
      </w:r>
      <w:r w:rsidR="001526B8" w:rsidRPr="004132A0">
        <w:rPr>
          <w:rFonts w:ascii="Times New Roman" w:hAnsi="Times New Roman" w:cs="Times New Roman"/>
          <w:b/>
          <w:sz w:val="24"/>
          <w:szCs w:val="24"/>
          <w:lang w:eastAsia="tr-TR"/>
        </w:rPr>
        <w:t xml:space="preserve"> MÜDÜRLÜĞÜNE</w:t>
      </w:r>
    </w:p>
    <w:p w14:paraId="2FC19FC7" w14:textId="77777777" w:rsidR="001526B8" w:rsidRDefault="001526B8" w:rsidP="001526B8">
      <w:pPr>
        <w:pStyle w:val="AralkYok"/>
        <w:jc w:val="center"/>
        <w:rPr>
          <w:rFonts w:ascii="Times New Roman" w:hAnsi="Times New Roman" w:cs="Times New Roman"/>
          <w:sz w:val="24"/>
          <w:szCs w:val="24"/>
          <w:lang w:eastAsia="tr-TR"/>
        </w:rPr>
      </w:pPr>
    </w:p>
    <w:p w14:paraId="321B6731" w14:textId="43FD763D" w:rsidR="004132A0" w:rsidRDefault="004132A0" w:rsidP="004132A0">
      <w:pPr>
        <w:pStyle w:val="NormalWeb"/>
        <w:ind w:firstLine="708"/>
        <w:jc w:val="both"/>
      </w:pPr>
      <w:r>
        <w:t xml:space="preserve">Kurumunuzda </w:t>
      </w:r>
      <w:r w:rsidR="00222444">
        <w:t>Din Kültürü ve Ahlak Bilgisi öğretmeni</w:t>
      </w:r>
      <w:r>
        <w:t xml:space="preserve"> olarak görev yapmaktayım.</w:t>
      </w:r>
    </w:p>
    <w:p w14:paraId="60528ABB" w14:textId="77777777" w:rsidR="004132A0" w:rsidRPr="004132A0" w:rsidRDefault="004132A0" w:rsidP="004132A0">
      <w:pPr>
        <w:pStyle w:val="NormalWeb"/>
        <w:ind w:firstLine="708"/>
        <w:jc w:val="both"/>
      </w:pPr>
      <w:r w:rsidRPr="004132A0">
        <w:rPr>
          <w:rStyle w:val="Gl"/>
          <w:b w:val="0"/>
        </w:rPr>
        <w:t>Danıştay 12. Dairesinde görülen 2023/88 Esas, 2025/2736 Karar sayılı</w:t>
      </w:r>
      <w:r w:rsidRPr="004132A0">
        <w:t xml:space="preserve"> ve </w:t>
      </w:r>
      <w:r w:rsidRPr="004132A0">
        <w:rPr>
          <w:rStyle w:val="Gl"/>
          <w:b w:val="0"/>
        </w:rPr>
        <w:t>2023/74 Esas, 2025/2733 Karar sayılı</w:t>
      </w:r>
      <w:r w:rsidRPr="004132A0">
        <w:t xml:space="preserve"> davalarda verilen kararlarda;</w:t>
      </w:r>
      <w:r>
        <w:t xml:space="preserve"> </w:t>
      </w:r>
      <w:r w:rsidRPr="004132A0">
        <w:t xml:space="preserve">“Dava konusu </w:t>
      </w:r>
      <w:r w:rsidRPr="004132A0">
        <w:rPr>
          <w:rStyle w:val="Vurgu"/>
        </w:rPr>
        <w:t>Personel Ödemeleri 2023 Yılı Yeni Yıl İşlemleri Uygulama Kılavuzu</w:t>
      </w:r>
      <w:r w:rsidRPr="004132A0">
        <w:t xml:space="preserve">'nun; </w:t>
      </w:r>
      <w:r w:rsidRPr="004132A0">
        <w:rPr>
          <w:rStyle w:val="Vurgu"/>
        </w:rPr>
        <w:t>‘B- Sendika Düzenlemesi’</w:t>
      </w:r>
      <w:r w:rsidRPr="004132A0">
        <w:t xml:space="preserve"> başlığı altında yer alan, </w:t>
      </w:r>
      <w:r w:rsidRPr="004132A0">
        <w:rPr>
          <w:rStyle w:val="Vurgu"/>
        </w:rPr>
        <w:t>‘B.1-Toplu Sözleşme İkramiyesi’</w:t>
      </w:r>
      <w:r w:rsidRPr="004132A0">
        <w:t xml:space="preserve"> alt başlığında düzenlenen, ‘...kurulu olduğu hizmet kolunda sendika üyesi olabilecek toplam kamu görevlisi sayısının en az yüzde ikisini sendika üyesi kaydeden...’ ve ‘...yüzde ikisinin altında sendika üyesi kaydeden kamu görevlileri sendikalarına üye olanlar için ise 750 gösterge rakamı üzerinden toplu sözleşme desteği...’ ibarelerinin </w:t>
      </w:r>
      <w:r w:rsidRPr="004132A0">
        <w:rPr>
          <w:rStyle w:val="Gl"/>
          <w:b w:val="0"/>
        </w:rPr>
        <w:t>iptaline</w:t>
      </w:r>
      <w:r w:rsidRPr="004132A0">
        <w:t xml:space="preserve"> karar verilmiştir.”</w:t>
      </w:r>
    </w:p>
    <w:p w14:paraId="59A11028" w14:textId="77777777" w:rsidR="004132A0" w:rsidRPr="004132A0" w:rsidRDefault="004132A0" w:rsidP="004132A0">
      <w:pPr>
        <w:pStyle w:val="NormalWeb"/>
        <w:ind w:firstLine="708"/>
        <w:jc w:val="both"/>
      </w:pPr>
      <w:r w:rsidRPr="004132A0">
        <w:t xml:space="preserve">7429 sayılı Kanun’un 11. ve 12. maddeleriyle 375 sayılı Kanun Hükmünde Kararname’de yapılan değişiklik sonucu, 2023 yılı başından itibaren kamu görevlisi sendikalarına üye olanlar arasında </w:t>
      </w:r>
      <w:r w:rsidRPr="004132A0">
        <w:rPr>
          <w:rStyle w:val="Gl"/>
          <w:b w:val="0"/>
        </w:rPr>
        <w:t>%2 barajı</w:t>
      </w:r>
      <w:r w:rsidRPr="004132A0">
        <w:t xml:space="preserve"> esas alınarak farklı tutarlarda toplu sözleşme ödemesi yapılmıştır. Bu kapsamda, %2 barajının altında üyeye sahip sendikalara üye olan kamu görevlilerine </w:t>
      </w:r>
      <w:r w:rsidRPr="004132A0">
        <w:rPr>
          <w:rStyle w:val="Gl"/>
          <w:b w:val="0"/>
        </w:rPr>
        <w:t>750 gösterge</w:t>
      </w:r>
      <w:r w:rsidRPr="004132A0">
        <w:t xml:space="preserve">, üzerindekilere ise </w:t>
      </w:r>
      <w:r w:rsidRPr="004132A0">
        <w:rPr>
          <w:rStyle w:val="Gl"/>
          <w:b w:val="0"/>
        </w:rPr>
        <w:t>2119 gösterge</w:t>
      </w:r>
      <w:r w:rsidRPr="004132A0">
        <w:t xml:space="preserve"> esas alınarak ödeme yapılmıştır.</w:t>
      </w:r>
    </w:p>
    <w:p w14:paraId="12F5C1C6" w14:textId="77777777" w:rsidR="004132A0" w:rsidRPr="004132A0" w:rsidRDefault="004132A0" w:rsidP="004132A0">
      <w:pPr>
        <w:pStyle w:val="NormalWeb"/>
        <w:ind w:firstLine="708"/>
        <w:jc w:val="both"/>
      </w:pPr>
      <w:r w:rsidRPr="004132A0">
        <w:t xml:space="preserve">Ancak, söz konusu düzenlemeler </w:t>
      </w:r>
      <w:r w:rsidRPr="004132A0">
        <w:rPr>
          <w:rStyle w:val="Gl"/>
          <w:b w:val="0"/>
        </w:rPr>
        <w:t>Anayasa Mahkemesi’nin 18/01/2024 tarihli ve E:2023/12, K:2024/12 sayılı kararı</w:t>
      </w:r>
      <w:r w:rsidRPr="004132A0">
        <w:t xml:space="preserve"> ile </w:t>
      </w:r>
      <w:r w:rsidRPr="004132A0">
        <w:rPr>
          <w:rStyle w:val="Gl"/>
          <w:b w:val="0"/>
        </w:rPr>
        <w:t>Anayasa’nın 10. ve 51. maddelerine aykırı bulunarak iptal edilmiş</w:t>
      </w:r>
      <w:r w:rsidRPr="004132A0">
        <w:t xml:space="preserve">, ardından </w:t>
      </w:r>
      <w:r w:rsidRPr="004132A0">
        <w:rPr>
          <w:rStyle w:val="Gl"/>
          <w:b w:val="0"/>
        </w:rPr>
        <w:t>Danıştay 12. Dairesi’nin yukarıda belirtilen kararlarıyla</w:t>
      </w:r>
      <w:r w:rsidRPr="004132A0">
        <w:t xml:space="preserve"> da bu düzenlemelere dayanan </w:t>
      </w:r>
      <w:r w:rsidRPr="004132A0">
        <w:rPr>
          <w:rStyle w:val="Gl"/>
          <w:b w:val="0"/>
        </w:rPr>
        <w:t>Hazine ve Maliye Bakanlığı’nın “Personel Ödemeleri 2023 Yılı Yeni Yıl İşlemleri Uygulama Kılavuzu”nun ilgili hükümleri iptal edilmiştir.</w:t>
      </w:r>
    </w:p>
    <w:p w14:paraId="79178A57" w14:textId="77777777" w:rsidR="004132A0" w:rsidRPr="004132A0" w:rsidRDefault="004132A0" w:rsidP="004132A0">
      <w:pPr>
        <w:pStyle w:val="NormalWeb"/>
        <w:ind w:firstLine="708"/>
        <w:jc w:val="both"/>
      </w:pPr>
      <w:r w:rsidRPr="004132A0">
        <w:t xml:space="preserve">Bu kararlar uyarınca; sendika üyeleri arasında yapılan ayrımın hukuka aykırı olduğu ve </w:t>
      </w:r>
      <w:r w:rsidRPr="004132A0">
        <w:rPr>
          <w:rStyle w:val="Gl"/>
          <w:b w:val="0"/>
        </w:rPr>
        <w:t>750 göstergeye göre ödeme yapılan kamu görevlilerinin, 2119 gösterge farkını yasal faiziyle birlikte talep edebileceği</w:t>
      </w:r>
      <w:r w:rsidRPr="004132A0">
        <w:t xml:space="preserve"> açıkça ortaya konmuştur.</w:t>
      </w:r>
    </w:p>
    <w:p w14:paraId="17231B67" w14:textId="77777777" w:rsidR="004132A0" w:rsidRPr="00272BED" w:rsidRDefault="00272BED" w:rsidP="004132A0">
      <w:pPr>
        <w:pStyle w:val="NormalWeb"/>
        <w:ind w:firstLine="708"/>
        <w:jc w:val="both"/>
        <w:rPr>
          <w:rStyle w:val="Gl"/>
          <w:b w:val="0"/>
          <w:color w:val="000000" w:themeColor="text1"/>
        </w:rPr>
      </w:pPr>
      <w:r w:rsidRPr="00272BED">
        <w:rPr>
          <w:color w:val="000000" w:themeColor="text1"/>
          <w:shd w:val="clear" w:color="auto" w:fill="FFFFFF"/>
        </w:rPr>
        <w:t>Anılan kararlar gereğince</w:t>
      </w:r>
      <w:r>
        <w:rPr>
          <w:color w:val="000000" w:themeColor="text1"/>
          <w:shd w:val="clear" w:color="auto" w:fill="FFFFFF"/>
        </w:rPr>
        <w:t>;</w:t>
      </w:r>
      <w:r w:rsidRPr="00272BED">
        <w:rPr>
          <w:color w:val="000000" w:themeColor="text1"/>
          <w:shd w:val="clear" w:color="auto" w:fill="FFFFFF"/>
        </w:rPr>
        <w:t xml:space="preserve"> Hazine ve Maliye Bakanlığı Muhasebat Genel Müdürlüğünün 02/01/2023 tarihinde yayımladığı Personel Ödemeleri 2023 Yılı Yeni Yıl İşlemleri Uygulama Kılavuzu'nda yer alan ve üye sayısı % 2 den az olan bir  sendikaya üye olduğum için </w:t>
      </w:r>
      <w:r w:rsidR="004132A0" w:rsidRPr="00272BED">
        <w:rPr>
          <w:rStyle w:val="Gl"/>
          <w:b w:val="0"/>
          <w:color w:val="000000" w:themeColor="text1"/>
        </w:rPr>
        <w:t>2023 yılı Ocak, Nisan, Temmuz ve Ekim dönemlerinde tarafıma 750 gösterge üzerinden ödenen toplu sözleşme ikramiyesi/destek tutarları ile 2119 gösterge rakamı esas alınarak yapılması gereken ödeme arasındaki farkın tarafıma ödenmesi hususunda;</w:t>
      </w:r>
    </w:p>
    <w:p w14:paraId="38DEF232" w14:textId="77777777" w:rsidR="004132A0" w:rsidRPr="004132A0" w:rsidRDefault="004132A0" w:rsidP="004132A0">
      <w:pPr>
        <w:pStyle w:val="NormalWeb"/>
        <w:ind w:firstLine="708"/>
        <w:jc w:val="both"/>
      </w:pPr>
      <w:r w:rsidRPr="004132A0">
        <w:rPr>
          <w:rStyle w:val="Gl"/>
          <w:b w:val="0"/>
        </w:rPr>
        <w:t xml:space="preserve">Gereğini bilgilerinize </w:t>
      </w:r>
      <w:r w:rsidRPr="004132A0">
        <w:t>arz ederim. …/10/2025</w:t>
      </w:r>
    </w:p>
    <w:p w14:paraId="5BFE2F58" w14:textId="77777777" w:rsidR="001526B8" w:rsidRPr="001526B8" w:rsidRDefault="004132A0" w:rsidP="004132A0">
      <w:pPr>
        <w:spacing w:after="0" w:line="240" w:lineRule="auto"/>
        <w:rPr>
          <w:rFonts w:ascii="Times New Roman" w:eastAsia="Times New Roman" w:hAnsi="Times New Roman" w:cs="Times New Roman"/>
          <w:sz w:val="24"/>
          <w:szCs w:val="24"/>
          <w:lang w:eastAsia="tr-TR"/>
        </w:rPr>
      </w:pPr>
      <w:r w:rsidRPr="001526B8">
        <w:rPr>
          <w:rFonts w:ascii="Times New Roman" w:eastAsia="Times New Roman" w:hAnsi="Times New Roman" w:cs="Times New Roman"/>
          <w:sz w:val="24"/>
          <w:szCs w:val="24"/>
          <w:lang w:eastAsia="tr-TR"/>
        </w:rPr>
        <w:t xml:space="preserve"> </w:t>
      </w:r>
    </w:p>
    <w:p w14:paraId="420BBB9A" w14:textId="77777777" w:rsidR="00222444" w:rsidRDefault="004132A0" w:rsidP="004132A0">
      <w:pPr>
        <w:pStyle w:val="AralkYok"/>
        <w:ind w:left="7080"/>
        <w:rPr>
          <w:rFonts w:ascii="Times New Roman" w:hAnsi="Times New Roman" w:cs="Times New Roman"/>
          <w:b/>
          <w:sz w:val="24"/>
          <w:szCs w:val="24"/>
          <w:lang w:eastAsia="tr-TR"/>
        </w:rPr>
      </w:pPr>
      <w:r w:rsidRPr="004132A0">
        <w:rPr>
          <w:rFonts w:ascii="Times New Roman" w:hAnsi="Times New Roman" w:cs="Times New Roman"/>
          <w:b/>
          <w:sz w:val="24"/>
          <w:szCs w:val="24"/>
          <w:lang w:eastAsia="tr-TR"/>
        </w:rPr>
        <w:t xml:space="preserve">         </w:t>
      </w:r>
    </w:p>
    <w:p w14:paraId="416B323D" w14:textId="29D68850" w:rsidR="004132A0" w:rsidRPr="004132A0" w:rsidRDefault="00222444" w:rsidP="00222444">
      <w:pPr>
        <w:pStyle w:val="AralkYok"/>
        <w:ind w:left="5664"/>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                 Mehmet Fatih BÜTÜN</w:t>
      </w:r>
    </w:p>
    <w:p w14:paraId="48731DE2" w14:textId="683324A2" w:rsidR="004132A0" w:rsidRPr="004132A0" w:rsidRDefault="00222444" w:rsidP="00222444">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                                                                                                                                </w:t>
      </w:r>
      <w:r w:rsidR="004132A0" w:rsidRPr="004132A0">
        <w:rPr>
          <w:rFonts w:ascii="Times New Roman" w:hAnsi="Times New Roman" w:cs="Times New Roman"/>
          <w:b/>
          <w:sz w:val="24"/>
          <w:szCs w:val="24"/>
          <w:lang w:eastAsia="tr-TR"/>
        </w:rPr>
        <w:t>İmza</w:t>
      </w:r>
    </w:p>
    <w:p w14:paraId="6DA51DA2" w14:textId="4CE9FCBF" w:rsidR="001526B8" w:rsidRPr="004132A0" w:rsidRDefault="001526B8" w:rsidP="004132A0">
      <w:pPr>
        <w:pStyle w:val="AralkYok"/>
        <w:rPr>
          <w:rFonts w:ascii="Times New Roman" w:hAnsi="Times New Roman" w:cs="Times New Roman"/>
          <w:sz w:val="24"/>
          <w:szCs w:val="24"/>
          <w:lang w:eastAsia="tr-TR"/>
        </w:rPr>
      </w:pPr>
      <w:r w:rsidRPr="004132A0">
        <w:rPr>
          <w:rFonts w:ascii="Times New Roman" w:hAnsi="Times New Roman" w:cs="Times New Roman"/>
          <w:sz w:val="24"/>
          <w:szCs w:val="24"/>
          <w:lang w:eastAsia="tr-TR"/>
        </w:rPr>
        <w:br/>
        <w:t>T.C. Kimlik No:</w:t>
      </w:r>
      <w:r w:rsidR="004132A0" w:rsidRPr="004132A0">
        <w:rPr>
          <w:rFonts w:ascii="Times New Roman" w:hAnsi="Times New Roman" w:cs="Times New Roman"/>
          <w:sz w:val="24"/>
          <w:szCs w:val="24"/>
          <w:lang w:eastAsia="tr-TR"/>
        </w:rPr>
        <w:t xml:space="preserve"> </w:t>
      </w:r>
      <w:r w:rsidR="00222444">
        <w:rPr>
          <w:rFonts w:ascii="Times New Roman" w:hAnsi="Times New Roman" w:cs="Times New Roman"/>
          <w:sz w:val="24"/>
          <w:szCs w:val="24"/>
          <w:lang w:eastAsia="tr-TR"/>
        </w:rPr>
        <w:t>34672384748</w:t>
      </w:r>
      <w:r w:rsidRPr="004132A0">
        <w:rPr>
          <w:rFonts w:ascii="Times New Roman" w:hAnsi="Times New Roman" w:cs="Times New Roman"/>
          <w:sz w:val="24"/>
          <w:szCs w:val="24"/>
          <w:lang w:eastAsia="tr-TR"/>
        </w:rPr>
        <w:br/>
        <w:t xml:space="preserve">Görev Yeri: </w:t>
      </w:r>
      <w:r w:rsidR="00222444">
        <w:rPr>
          <w:rFonts w:ascii="Times New Roman" w:hAnsi="Times New Roman" w:cs="Times New Roman"/>
          <w:sz w:val="24"/>
          <w:szCs w:val="24"/>
          <w:lang w:eastAsia="tr-TR"/>
        </w:rPr>
        <w:t>Nilüfer Şehit Zafer Koyuncu İmam Hatip Ortaokulu</w:t>
      </w:r>
      <w:r w:rsidRPr="004132A0">
        <w:rPr>
          <w:rFonts w:ascii="Times New Roman" w:hAnsi="Times New Roman" w:cs="Times New Roman"/>
          <w:sz w:val="24"/>
          <w:szCs w:val="24"/>
          <w:lang w:eastAsia="tr-TR"/>
        </w:rPr>
        <w:br/>
        <w:t xml:space="preserve">Sendika Üyeliği: </w:t>
      </w:r>
      <w:r w:rsidRPr="004132A0">
        <w:rPr>
          <w:rFonts w:ascii="Times New Roman" w:hAnsi="Times New Roman" w:cs="Times New Roman"/>
          <w:b/>
          <w:sz w:val="24"/>
          <w:szCs w:val="24"/>
          <w:lang w:eastAsia="tr-TR"/>
        </w:rPr>
        <w:t>Mil Maarif-Sen</w:t>
      </w:r>
    </w:p>
    <w:p w14:paraId="726EB83A" w14:textId="7709D67B" w:rsidR="004132A0" w:rsidRPr="004132A0" w:rsidRDefault="004132A0" w:rsidP="004132A0">
      <w:pPr>
        <w:pStyle w:val="AralkYok"/>
        <w:rPr>
          <w:rFonts w:ascii="Times New Roman" w:hAnsi="Times New Roman" w:cs="Times New Roman"/>
          <w:sz w:val="24"/>
          <w:szCs w:val="24"/>
          <w:lang w:eastAsia="tr-TR"/>
        </w:rPr>
      </w:pPr>
      <w:r w:rsidRPr="004132A0">
        <w:rPr>
          <w:rFonts w:ascii="Times New Roman" w:hAnsi="Times New Roman" w:cs="Times New Roman"/>
          <w:sz w:val="24"/>
          <w:szCs w:val="24"/>
          <w:lang w:eastAsia="tr-TR"/>
        </w:rPr>
        <w:t>Tel:</w:t>
      </w:r>
      <w:r w:rsidR="00222444">
        <w:rPr>
          <w:rFonts w:ascii="Times New Roman" w:hAnsi="Times New Roman" w:cs="Times New Roman"/>
          <w:sz w:val="24"/>
          <w:szCs w:val="24"/>
          <w:lang w:eastAsia="tr-TR"/>
        </w:rPr>
        <w:t xml:space="preserve"> 0505 435 68 85</w:t>
      </w:r>
    </w:p>
    <w:p w14:paraId="1C9E7AE4" w14:textId="61EB2272" w:rsidR="004132A0" w:rsidRPr="004132A0" w:rsidRDefault="004132A0" w:rsidP="004132A0">
      <w:pPr>
        <w:pStyle w:val="AralkYok"/>
        <w:rPr>
          <w:rFonts w:ascii="Times New Roman" w:hAnsi="Times New Roman" w:cs="Times New Roman"/>
          <w:sz w:val="24"/>
          <w:szCs w:val="24"/>
          <w:lang w:eastAsia="tr-TR"/>
        </w:rPr>
      </w:pPr>
      <w:r w:rsidRPr="004132A0">
        <w:rPr>
          <w:rFonts w:ascii="Times New Roman" w:hAnsi="Times New Roman" w:cs="Times New Roman"/>
          <w:sz w:val="24"/>
          <w:szCs w:val="24"/>
          <w:lang w:eastAsia="tr-TR"/>
        </w:rPr>
        <w:t>Adres:</w:t>
      </w:r>
      <w:r w:rsidR="00222444">
        <w:rPr>
          <w:rFonts w:ascii="Times New Roman" w:hAnsi="Times New Roman" w:cs="Times New Roman"/>
          <w:sz w:val="24"/>
          <w:szCs w:val="24"/>
          <w:lang w:eastAsia="tr-TR"/>
        </w:rPr>
        <w:t xml:space="preserve"> </w:t>
      </w:r>
      <w:proofErr w:type="spellStart"/>
      <w:r w:rsidR="00222444">
        <w:rPr>
          <w:rFonts w:ascii="Times New Roman" w:hAnsi="Times New Roman" w:cs="Times New Roman"/>
          <w:sz w:val="24"/>
          <w:szCs w:val="24"/>
          <w:lang w:eastAsia="tr-TR"/>
        </w:rPr>
        <w:t>Cumhriyet</w:t>
      </w:r>
      <w:proofErr w:type="spellEnd"/>
      <w:r w:rsidR="00222444">
        <w:rPr>
          <w:rFonts w:ascii="Times New Roman" w:hAnsi="Times New Roman" w:cs="Times New Roman"/>
          <w:sz w:val="24"/>
          <w:szCs w:val="24"/>
          <w:lang w:eastAsia="tr-TR"/>
        </w:rPr>
        <w:t xml:space="preserve"> Mah. Zafer Sok. No: 8 Nilüfer/Bursa</w:t>
      </w:r>
    </w:p>
    <w:sectPr w:rsidR="004132A0" w:rsidRPr="004132A0" w:rsidSect="004132A0">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47C3B"/>
    <w:multiLevelType w:val="multilevel"/>
    <w:tmpl w:val="935C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960A6"/>
    <w:multiLevelType w:val="multilevel"/>
    <w:tmpl w:val="2DDE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C5541"/>
    <w:multiLevelType w:val="multilevel"/>
    <w:tmpl w:val="DF1E0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558223">
    <w:abstractNumId w:val="0"/>
  </w:num>
  <w:num w:numId="2" w16cid:durableId="1883863050">
    <w:abstractNumId w:val="2"/>
  </w:num>
  <w:num w:numId="3" w16cid:durableId="112677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9F1"/>
    <w:rsid w:val="000B6275"/>
    <w:rsid w:val="001419F1"/>
    <w:rsid w:val="001526B8"/>
    <w:rsid w:val="001B561F"/>
    <w:rsid w:val="00222444"/>
    <w:rsid w:val="00272BED"/>
    <w:rsid w:val="002F72BD"/>
    <w:rsid w:val="004132A0"/>
    <w:rsid w:val="00535B76"/>
    <w:rsid w:val="00547373"/>
    <w:rsid w:val="005D2CD4"/>
    <w:rsid w:val="005F13CA"/>
    <w:rsid w:val="007165F1"/>
    <w:rsid w:val="00752D57"/>
    <w:rsid w:val="00757594"/>
    <w:rsid w:val="0080572C"/>
    <w:rsid w:val="00894FB1"/>
    <w:rsid w:val="00B84E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5447"/>
  <w15:chartTrackingRefBased/>
  <w15:docId w15:val="{1E2F9FBC-7B0B-444D-A31A-FE23D6AA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B84EA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B84EA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4EA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B84EA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B84E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4EA8"/>
    <w:rPr>
      <w:b/>
      <w:bCs/>
    </w:rPr>
  </w:style>
  <w:style w:type="character" w:styleId="Kpr">
    <w:name w:val="Hyperlink"/>
    <w:basedOn w:val="VarsaylanParagrafYazTipi"/>
    <w:uiPriority w:val="99"/>
    <w:semiHidden/>
    <w:unhideWhenUsed/>
    <w:rsid w:val="00B84EA8"/>
    <w:rPr>
      <w:color w:val="0000FF"/>
      <w:u w:val="single"/>
    </w:rPr>
  </w:style>
  <w:style w:type="paragraph" w:customStyle="1" w:styleId="cvgsua">
    <w:name w:val="cvgsua"/>
    <w:basedOn w:val="Normal"/>
    <w:rsid w:val="001526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gcmg">
    <w:name w:val="a_gcmg"/>
    <w:basedOn w:val="VarsaylanParagrafYazTipi"/>
    <w:rsid w:val="001526B8"/>
  </w:style>
  <w:style w:type="paragraph" w:styleId="AralkYok">
    <w:name w:val="No Spacing"/>
    <w:uiPriority w:val="1"/>
    <w:qFormat/>
    <w:rsid w:val="001526B8"/>
    <w:pPr>
      <w:spacing w:after="0" w:line="240" w:lineRule="auto"/>
    </w:pPr>
  </w:style>
  <w:style w:type="character" w:styleId="Vurgu">
    <w:name w:val="Emphasis"/>
    <w:basedOn w:val="VarsaylanParagrafYazTipi"/>
    <w:uiPriority w:val="20"/>
    <w:qFormat/>
    <w:rsid w:val="00413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3330">
      <w:bodyDiv w:val="1"/>
      <w:marLeft w:val="0"/>
      <w:marRight w:val="0"/>
      <w:marTop w:val="0"/>
      <w:marBottom w:val="0"/>
      <w:divBdr>
        <w:top w:val="none" w:sz="0" w:space="0" w:color="auto"/>
        <w:left w:val="none" w:sz="0" w:space="0" w:color="auto"/>
        <w:bottom w:val="none" w:sz="0" w:space="0" w:color="auto"/>
        <w:right w:val="none" w:sz="0" w:space="0" w:color="auto"/>
      </w:divBdr>
      <w:divsChild>
        <w:div w:id="113017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0378">
      <w:bodyDiv w:val="1"/>
      <w:marLeft w:val="0"/>
      <w:marRight w:val="0"/>
      <w:marTop w:val="0"/>
      <w:marBottom w:val="0"/>
      <w:divBdr>
        <w:top w:val="none" w:sz="0" w:space="0" w:color="auto"/>
        <w:left w:val="none" w:sz="0" w:space="0" w:color="auto"/>
        <w:bottom w:val="none" w:sz="0" w:space="0" w:color="auto"/>
        <w:right w:val="none" w:sz="0" w:space="0" w:color="auto"/>
      </w:divBdr>
    </w:div>
    <w:div w:id="792358595">
      <w:bodyDiv w:val="1"/>
      <w:marLeft w:val="0"/>
      <w:marRight w:val="0"/>
      <w:marTop w:val="0"/>
      <w:marBottom w:val="0"/>
      <w:divBdr>
        <w:top w:val="none" w:sz="0" w:space="0" w:color="auto"/>
        <w:left w:val="none" w:sz="0" w:space="0" w:color="auto"/>
        <w:bottom w:val="none" w:sz="0" w:space="0" w:color="auto"/>
        <w:right w:val="none" w:sz="0" w:space="0" w:color="auto"/>
      </w:divBdr>
    </w:div>
    <w:div w:id="896551482">
      <w:bodyDiv w:val="1"/>
      <w:marLeft w:val="0"/>
      <w:marRight w:val="0"/>
      <w:marTop w:val="0"/>
      <w:marBottom w:val="0"/>
      <w:divBdr>
        <w:top w:val="none" w:sz="0" w:space="0" w:color="auto"/>
        <w:left w:val="none" w:sz="0" w:space="0" w:color="auto"/>
        <w:bottom w:val="none" w:sz="0" w:space="0" w:color="auto"/>
        <w:right w:val="none" w:sz="0" w:space="0" w:color="auto"/>
      </w:divBdr>
    </w:div>
    <w:div w:id="169229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Fatih Bütün</cp:lastModifiedBy>
  <cp:revision>2</cp:revision>
  <cp:lastPrinted>2025-10-10T08:47:00Z</cp:lastPrinted>
  <dcterms:created xsi:type="dcterms:W3CDTF">2025-10-10T09:03:00Z</dcterms:created>
  <dcterms:modified xsi:type="dcterms:W3CDTF">2025-10-10T09:03:00Z</dcterms:modified>
</cp:coreProperties>
</file>